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95" w:type="dxa"/>
        <w:jc w:val="left"/>
        <w:tblInd w:w="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670"/>
        <w:gridCol w:w="5924"/>
      </w:tblGrid>
      <w:tr>
        <w:trPr>
          <w:tblHeader w:val="true"/>
          <w:trHeight w:val="1545" w:hRule="atLeast"/>
        </w:trPr>
        <w:tc>
          <w:tcPr>
            <w:tcW w:w="8670" w:type="dxa"/>
            <w:tcBorders/>
          </w:tcPr>
          <w:p>
            <w:pPr>
              <w:pStyle w:val="ConsPlusNormal"/>
              <w:widowControl w:val="false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9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right"/>
              <w:outlineLvl w:val="0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Приложение №1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jc w:val="right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«Управление муниципальными финансами»</w:t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>Таблица 1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 xml:space="preserve">Цели, задачи и целевые показатели муниципальной программы «Управление муниципальными финансами» </w:t>
      </w:r>
      <w:r>
        <w:rPr>
          <w:rFonts w:cs="Times New Roman" w:ascii="Times New Roman" w:hAnsi="Times New Roman"/>
          <w:sz w:val="28"/>
          <w:szCs w:val="28"/>
          <w:shd w:fill="FFFFFF" w:val="clear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(2015-2020 годы)</w:t>
      </w:r>
    </w:p>
    <w:p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4625" w:type="dxa"/>
        <w:jc w:val="left"/>
        <w:tblInd w:w="-11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67"/>
        <w:gridCol w:w="4475"/>
        <w:gridCol w:w="913"/>
        <w:gridCol w:w="962"/>
        <w:gridCol w:w="1019"/>
        <w:gridCol w:w="1021"/>
        <w:gridCol w:w="1202"/>
        <w:gridCol w:w="1018"/>
        <w:gridCol w:w="1167"/>
        <w:gridCol w:w="1147"/>
        <w:gridCol w:w="1132"/>
      </w:tblGrid>
      <w:tr>
        <w:trPr>
          <w:tblHeader w:val="true"/>
          <w:trHeight w:val="333" w:hRule="atLeast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4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Ед.измерения</w:t>
            </w:r>
          </w:p>
        </w:tc>
        <w:tc>
          <w:tcPr>
            <w:tcW w:w="638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Значение показателей</w:t>
            </w:r>
          </w:p>
        </w:tc>
        <w:tc>
          <w:tcPr>
            <w:tcW w:w="1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  <w:trHeight w:val="333" w:hRule="atLeast"/>
        </w:trPr>
        <w:tc>
          <w:tcPr>
            <w:tcW w:w="56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447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1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2017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blHeader w:val="true"/>
          <w:trHeight w:val="229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614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 программа «Управление муниципальными финансами»</w:t>
            </w:r>
          </w:p>
        </w:tc>
      </w:tr>
      <w:tr>
        <w:trPr>
          <w:trHeight w:val="614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1 «Организация бюджетного процесса в муниципальном образовании Северский район»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бюджета других уровней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13,7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447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92,4</w:t>
            </w:r>
          </w:p>
        </w:tc>
      </w:tr>
      <w:tr>
        <w:trPr>
          <w:trHeight w:val="358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порядка и сроков       разработки проекта бюджета муниципального района, установленных бюджетным законодательством и нормативным правовым актом органа местного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1951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</w:tr>
      <w:tr>
        <w:trPr>
          <w:trHeight w:val="925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  года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года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Российской   Федерации и нормативным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правовым актом органа местного     самоуправления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 года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текущего  года</w:t>
            </w:r>
          </w:p>
        </w:tc>
      </w:tr>
      <w:tr>
        <w:trPr>
          <w:trHeight w:val="381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1663" w:hRule="atLeast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Поддержание раздела Финансового управления на официальном сайте Администрации муниципального образования Северский район в информационно-телекоммуникационной сети Интернет в актуальном   состоянии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570" w:hRule="atLeast"/>
        </w:trPr>
        <w:tc>
          <w:tcPr>
            <w:tcW w:w="14623" w:type="dxa"/>
            <w:gridSpan w:val="11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2 "Обеспечение реализации муниципальной программы"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Наличие действующей интегрированной информационной    системы управления муниципальными финансами, в рамках которой    обеспечивается взаимосвязь всех 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процессов составления и исполнения местного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</w:tr>
      <w:tr>
        <w:trPr>
          <w:trHeight w:val="43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3 «Управление муниципальным долгом - обслуживание муниципального долга»</w:t>
            </w:r>
          </w:p>
        </w:tc>
      </w:tr>
      <w:tr>
        <w:trPr>
          <w:trHeight w:val="7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объема муниципального   долга к годовому объему доходов бюджета без учета утвержденного   объема безвозмездных поступлений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 бюджетов других уровней  бюджетов и  поступлений налоговых доходов по дополнительным нормативам отчислений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24,1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40,3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10,8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10,1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6,9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7,2</w:t>
            </w:r>
          </w:p>
        </w:tc>
      </w:tr>
      <w:tr>
        <w:trPr>
          <w:trHeight w:val="134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Доля расходов на обслуживание     муниципального долга в общем объеме расходов бюджета (за   исключением расходов,   осуществляемых за счет субвенций  из бюджетов вышестоящих уровней)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15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 1,5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   3,0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7,0</w:t>
            </w:r>
          </w:p>
        </w:tc>
      </w:tr>
      <w:tr>
        <w:trPr>
          <w:trHeight w:val="76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просроченной задолженности  по долговым обязательствам муниципального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да/нет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581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4 «Предоставление межбюджетных трансфертов»</w:t>
            </w:r>
          </w:p>
        </w:tc>
      </w:tr>
      <w:tr>
        <w:trPr>
          <w:trHeight w:val="594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67</w:t>
            </w:r>
          </w:p>
        </w:tc>
      </w:tr>
      <w:tr>
        <w:trPr>
          <w:trHeight w:val="69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>
          <w:trHeight w:val="900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4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450" w:hRule="atLeast"/>
        </w:trPr>
        <w:tc>
          <w:tcPr>
            <w:tcW w:w="1462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</w:tr>
      <w:tr>
        <w:trPr>
          <w:trHeight w:val="855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44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% (не более)</w:t>
            </w:r>
          </w:p>
        </w:tc>
        <w:tc>
          <w:tcPr>
            <w:tcW w:w="96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6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4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Таблица 2</w:t>
        <w:tab/>
        <w:tab/>
        <w:tab/>
        <w:tab/>
        <w:tab/>
        <w:tab/>
        <w:tab/>
        <w:tab/>
        <w:tab/>
        <w:tab/>
        <w:tab/>
        <w:tab/>
        <w:tab/>
        <w:tab/>
        <w:t xml:space="preserve"> </w:t>
      </w:r>
    </w:p>
    <w:p>
      <w:pPr>
        <w:pStyle w:val="ConsPlusNormal"/>
        <w:jc w:val="center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Цели, задачи и целевые показатели муниципальной программы «Управление муниципальными финансами»</w:t>
      </w:r>
    </w:p>
    <w:p>
      <w:pPr>
        <w:pStyle w:val="ConsPlusNormal"/>
        <w:jc w:val="center"/>
        <w:rPr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  <w:lang w:val="en-US"/>
        </w:rPr>
        <w:t>II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этап (20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21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-2027 годы)</w:t>
      </w:r>
    </w:p>
    <w:p>
      <w:pPr>
        <w:pStyle w:val="ConsPlusNormal"/>
        <w:jc w:val="center"/>
        <w:rPr>
          <w:shd w:fill="FFFFFF" w:val="clear"/>
        </w:rPr>
      </w:pPr>
      <w:r>
        <w:rPr>
          <w:shd w:fill="FFFFFF" w:val="clear"/>
        </w:rPr>
      </w:r>
    </w:p>
    <w:tbl>
      <w:tblPr>
        <w:tblW w:w="14595" w:type="dxa"/>
        <w:jc w:val="left"/>
        <w:tblInd w:w="44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val="0000"/>
      </w:tblPr>
      <w:tblGrid>
        <w:gridCol w:w="516"/>
        <w:gridCol w:w="4316"/>
        <w:gridCol w:w="756"/>
        <w:gridCol w:w="1156"/>
        <w:gridCol w:w="1195"/>
        <w:gridCol w:w="1118"/>
        <w:gridCol w:w="1195"/>
        <w:gridCol w:w="1210"/>
        <w:gridCol w:w="1454"/>
        <w:gridCol w:w="1677"/>
      </w:tblGrid>
      <w:tr>
        <w:trPr>
          <w:tblHeader w:val="true"/>
          <w:trHeight w:val="333" w:hRule="atLeast"/>
        </w:trPr>
        <w:tc>
          <w:tcPr>
            <w:tcW w:w="5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п/п</w:t>
            </w:r>
          </w:p>
        </w:tc>
        <w:tc>
          <w:tcPr>
            <w:tcW w:w="43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Наименование показателя</w:t>
            </w:r>
          </w:p>
        </w:tc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Ед.измерения</w:t>
            </w:r>
          </w:p>
        </w:tc>
        <w:tc>
          <w:tcPr>
            <w:tcW w:w="732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Значение показателей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blHeader w:val="true"/>
          <w:trHeight w:val="333" w:hRule="atLeast"/>
        </w:trPr>
        <w:tc>
          <w:tcPr>
            <w:tcW w:w="516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4316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56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1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2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2026</w:t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2027</w:t>
            </w:r>
          </w:p>
        </w:tc>
      </w:tr>
      <w:tr>
        <w:trPr>
          <w:tblHeader w:val="true"/>
          <w:trHeight w:val="229" w:hRule="atLeast"/>
        </w:trPr>
        <w:tc>
          <w:tcPr>
            <w:tcW w:w="5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</w:t>
            </w:r>
          </w:p>
        </w:tc>
        <w:tc>
          <w:tcPr>
            <w:tcW w:w="4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   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1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</w:t>
            </w:r>
          </w:p>
        </w:tc>
        <w:tc>
          <w:tcPr>
            <w:tcW w:w="11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</w:t>
            </w:r>
          </w:p>
        </w:tc>
        <w:tc>
          <w:tcPr>
            <w:tcW w:w="12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9</w:t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</w:tr>
      <w:tr>
        <w:trPr>
          <w:trHeight w:val="134" w:hRule="atLeast"/>
        </w:trPr>
        <w:tc>
          <w:tcPr>
            <w:tcW w:w="11462" w:type="dxa"/>
            <w:gridSpan w:val="8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Муниципальная программа «Управление муниципальными финансами»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11462" w:type="dxa"/>
            <w:gridSpan w:val="8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1 «Организация бюджетного процесса в муниципальном образовании Северский район»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772" w:hRule="atLeast"/>
        </w:trPr>
        <w:tc>
          <w:tcPr>
            <w:tcW w:w="5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1.</w:t>
            </w:r>
          </w:p>
        </w:tc>
        <w:tc>
          <w:tcPr>
            <w:tcW w:w="4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кредиторской   задолженности бюджета муниципального района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1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1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>нет</w:t>
            </w:r>
          </w:p>
        </w:tc>
      </w:tr>
      <w:tr>
        <w:trPr>
          <w:trHeight w:val="1485" w:hRule="atLeast"/>
        </w:trPr>
        <w:tc>
          <w:tcPr>
            <w:tcW w:w="5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2.</w:t>
            </w:r>
          </w:p>
        </w:tc>
        <w:tc>
          <w:tcPr>
            <w:tcW w:w="4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Отношение размера дефицита бюджета к годовому объему доходов бюджета без учета утвержденного объема    безвозмездных поступлений   из  бюджета других уровней бюджетов  </w:t>
            </w:r>
            <w:hyperlink w:anchor="Par419">
              <w:r>
                <w:rPr>
                  <w:rFonts w:cs="Times New Roman" w:ascii="Times New Roman" w:hAnsi="Times New Roman"/>
                  <w:sz w:val="24"/>
                  <w:szCs w:val="24"/>
                  <w:shd w:fill="FFFFFF" w:val="clear"/>
                </w:rPr>
                <w:t>&lt;*&gt;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и  поступлений налоговых доходов по дополнительным нормативам отчислений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1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1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2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</w:t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10</w:t>
            </w:r>
          </w:p>
        </w:tc>
      </w:tr>
      <w:tr>
        <w:trPr>
          <w:trHeight w:val="735" w:hRule="atLeast"/>
        </w:trPr>
        <w:tc>
          <w:tcPr>
            <w:tcW w:w="5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3.</w:t>
            </w:r>
          </w:p>
        </w:tc>
        <w:tc>
          <w:tcPr>
            <w:tcW w:w="4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Удельный вес расходов бюджета,  формируемых в рамках программ, в общем объеме расходов бюджета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1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91,0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91,3</w:t>
            </w:r>
          </w:p>
        </w:tc>
        <w:tc>
          <w:tcPr>
            <w:tcW w:w="11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91,9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91,9</w:t>
            </w:r>
          </w:p>
        </w:tc>
        <w:tc>
          <w:tcPr>
            <w:tcW w:w="12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92,4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89,2</w:t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90,8</w:t>
            </w:r>
          </w:p>
        </w:tc>
      </w:tr>
      <w:tr>
        <w:trPr>
          <w:trHeight w:val="1139" w:hRule="atLeast"/>
        </w:trPr>
        <w:tc>
          <w:tcPr>
            <w:tcW w:w="5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4.</w:t>
            </w:r>
          </w:p>
        </w:tc>
        <w:tc>
          <w:tcPr>
            <w:tcW w:w="4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Соблюдение порядка и сроков разработки проекта бюджета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муниципального района, установленных бюджетным законодательством и нормативным правовым актом органа местного самоуправления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1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да</w:t>
            </w:r>
          </w:p>
        </w:tc>
      </w:tr>
      <w:tr>
        <w:trPr>
          <w:trHeight w:val="1699" w:hRule="atLeast"/>
        </w:trPr>
        <w:tc>
          <w:tcPr>
            <w:tcW w:w="5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5.</w:t>
            </w:r>
          </w:p>
        </w:tc>
        <w:tc>
          <w:tcPr>
            <w:tcW w:w="4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утверждение сводной бюджетной росписи бюджета  муниципального района в сроки,   установленные бюджетным   законодательством Российской   Федерации и нормативным правовым  актом органа местного   самоуправления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1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1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года</w:t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года</w:t>
            </w:r>
          </w:p>
        </w:tc>
      </w:tr>
      <w:tr>
        <w:trPr>
          <w:trHeight w:val="1769" w:hRule="atLeast"/>
        </w:trPr>
        <w:tc>
          <w:tcPr>
            <w:tcW w:w="5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6.</w:t>
            </w:r>
          </w:p>
        </w:tc>
        <w:tc>
          <w:tcPr>
            <w:tcW w:w="4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Доведение показателей сводной   бюджетной росписи и лимитов   бюджетных обязательств до главных распорядителей средств бюджета    муниципального района  в сроки,  установленные законодательством   Российской Федерации и нормативным правовым актом органа местного   самоуправления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1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  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1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 года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2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года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года</w:t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начала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очередного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финансового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года</w:t>
            </w:r>
          </w:p>
        </w:tc>
      </w:tr>
      <w:tr>
        <w:trPr>
          <w:trHeight w:val="1563" w:hRule="atLeast"/>
        </w:trPr>
        <w:tc>
          <w:tcPr>
            <w:tcW w:w="5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7.</w:t>
            </w:r>
          </w:p>
        </w:tc>
        <w:tc>
          <w:tcPr>
            <w:tcW w:w="4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Составление и представление в Совет муниципального образования Северский район годового отчета об исполнении   местного бюджета в сроки, установленные бюджетным    законодательством Российской   Федерации и нормативным правовым актом органа местного     самоуправления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срок</w:t>
            </w:r>
          </w:p>
        </w:tc>
        <w:tc>
          <w:tcPr>
            <w:tcW w:w="11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года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1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2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текущего   года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текущего   года</w:t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 1 мая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/>
              <w:t>текущего   года</w:t>
            </w:r>
          </w:p>
        </w:tc>
      </w:tr>
      <w:tr>
        <w:trPr>
          <w:trHeight w:val="1272" w:hRule="atLeast"/>
        </w:trPr>
        <w:tc>
          <w:tcPr>
            <w:tcW w:w="5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8.</w:t>
            </w:r>
          </w:p>
        </w:tc>
        <w:tc>
          <w:tcPr>
            <w:tcW w:w="4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Проведение публичных слушаний по проекту бюджета муниципального района на очередной финансовый год и плановый период и по годовому отчету об исполнении местного бюджета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1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да</w:t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да</w:t>
            </w:r>
          </w:p>
        </w:tc>
      </w:tr>
      <w:tr>
        <w:trPr>
          <w:trHeight w:val="1259" w:hRule="atLeast"/>
        </w:trPr>
        <w:tc>
          <w:tcPr>
            <w:tcW w:w="51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9.</w:t>
            </w:r>
          </w:p>
        </w:tc>
        <w:tc>
          <w:tcPr>
            <w:tcW w:w="431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Поддержание раздела Финансового управления на официальном сайте Администрации муниципального образования Северский район в информационно-телекоммуникационной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сети Интернет в актуальном   состоянии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156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18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1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да</w:t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да</w:t>
            </w:r>
          </w:p>
        </w:tc>
      </w:tr>
      <w:tr>
        <w:trPr>
          <w:trHeight w:val="512" w:hRule="atLeast"/>
        </w:trPr>
        <w:tc>
          <w:tcPr>
            <w:tcW w:w="11462" w:type="dxa"/>
            <w:gridSpan w:val="8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2 "Обеспечение реализации муниципальной программы"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outlineLvl w:val="2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1590" w:hRule="atLeast"/>
        </w:trPr>
        <w:tc>
          <w:tcPr>
            <w:tcW w:w="51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10.</w:t>
            </w:r>
          </w:p>
        </w:tc>
        <w:tc>
          <w:tcPr>
            <w:tcW w:w="431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Наличие действующей интегрированной информационной    системы управления муниципальными финансами, в рамках которой    обеспечивается взаимосвязь всех инструментов стратегического и   бюджетного планирования, единство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процессов составления и исполнения местного бюджета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15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21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/>
              <w:t>да</w:t>
            </w:r>
          </w:p>
        </w:tc>
      </w:tr>
      <w:tr>
        <w:trPr>
          <w:trHeight w:val="322" w:hRule="atLeast"/>
        </w:trPr>
        <w:tc>
          <w:tcPr>
            <w:tcW w:w="11462" w:type="dxa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3 «Управление муниципальным долгом — обслуживание муниципального долга»</w:t>
            </w: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1544" w:hRule="atLeast"/>
        </w:trPr>
        <w:tc>
          <w:tcPr>
            <w:tcW w:w="51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11.</w:t>
            </w:r>
          </w:p>
        </w:tc>
        <w:tc>
          <w:tcPr>
            <w:tcW w:w="431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Отношение объема муниципального   долга к годовому объему доходов бюджета без учета утвержденного  объема безвозмездных поступлений из бюджетов </w:t>
            </w: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других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 уровней  бюджетов и  поступлений налоговых доходов по дополнительным нормативам отчислений</w:t>
            </w:r>
          </w:p>
        </w:tc>
        <w:tc>
          <w:tcPr>
            <w:tcW w:w="75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15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4,7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0,0</w:t>
            </w:r>
          </w:p>
        </w:tc>
        <w:tc>
          <w:tcPr>
            <w:tcW w:w="1118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0,0</w:t>
            </w:r>
          </w:p>
        </w:tc>
        <w:tc>
          <w:tcPr>
            <w:tcW w:w="119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0,1</w:t>
            </w:r>
          </w:p>
        </w:tc>
        <w:tc>
          <w:tcPr>
            <w:tcW w:w="121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2,0</w:t>
            </w:r>
          </w:p>
        </w:tc>
        <w:tc>
          <w:tcPr>
            <w:tcW w:w="1454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0</w:t>
            </w:r>
          </w:p>
        </w:tc>
        <w:tc>
          <w:tcPr>
            <w:tcW w:w="167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000000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0</w:t>
            </w:r>
          </w:p>
        </w:tc>
      </w:tr>
      <w:tr>
        <w:trPr>
          <w:trHeight w:val="1191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12.</w:t>
            </w:r>
          </w:p>
        </w:tc>
        <w:tc>
          <w:tcPr>
            <w:tcW w:w="4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Доля расходов на обслуживание     муниципального долга в общем объеме расходов бюджета (за   исключением расходов,   осуществляемых за счет субвенций  из бюджетов вышестоящих уровней)</w:t>
            </w:r>
          </w:p>
        </w:tc>
        <w:tc>
          <w:tcPr>
            <w:tcW w:w="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0,15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0,2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0,008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0,0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0,0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0,0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0,,0</w:t>
            </w:r>
          </w:p>
        </w:tc>
      </w:tr>
      <w:tr>
        <w:trPr>
          <w:trHeight w:val="735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13.</w:t>
            </w:r>
          </w:p>
        </w:tc>
        <w:tc>
          <w:tcPr>
            <w:tcW w:w="43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просроченной задолженности  по долговым обязательствам муниципального района</w:t>
            </w:r>
          </w:p>
        </w:tc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да/нет</w:t>
            </w:r>
          </w:p>
        </w:tc>
        <w:tc>
          <w:tcPr>
            <w:tcW w:w="11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нет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>
        <w:trPr>
          <w:trHeight w:val="415" w:hRule="atLeast"/>
        </w:trPr>
        <w:tc>
          <w:tcPr>
            <w:tcW w:w="11462" w:type="dxa"/>
            <w:gridSpan w:val="8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4 «Предоставление межбюджетных трансфертов»</w:t>
            </w:r>
          </w:p>
        </w:tc>
        <w:tc>
          <w:tcPr>
            <w:tcW w:w="145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659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14.</w:t>
            </w:r>
          </w:p>
        </w:tc>
        <w:tc>
          <w:tcPr>
            <w:tcW w:w="43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Минимально гарантированный уровень расчётной бюджетной обеспеченности</w:t>
            </w:r>
          </w:p>
        </w:tc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1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69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Segoe UI" w:cs="Times New Roman"/>
                <w:color w:val="auto"/>
                <w:kern w:val="0"/>
                <w:sz w:val="24"/>
                <w:szCs w:val="24"/>
                <w:shd w:fill="FFFFFF" w:val="clear"/>
                <w:lang w:val="ru-RU" w:eastAsia="ru-RU" w:bidi="ar-SA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62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Segoe U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58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61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60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51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54</w:t>
            </w:r>
          </w:p>
        </w:tc>
      </w:tr>
      <w:tr>
        <w:trPr>
          <w:trHeight w:val="675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15.</w:t>
            </w:r>
          </w:p>
        </w:tc>
        <w:tc>
          <w:tcPr>
            <w:tcW w:w="43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Содействие сбалансированности бюджетов поселений Северского района</w:t>
            </w:r>
          </w:p>
        </w:tc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1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-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100,0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100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-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-</w:t>
            </w:r>
          </w:p>
        </w:tc>
      </w:tr>
      <w:tr>
        <w:trPr>
          <w:trHeight w:val="659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16.</w:t>
            </w:r>
          </w:p>
        </w:tc>
        <w:tc>
          <w:tcPr>
            <w:tcW w:w="43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Объем иных межбюджетных трансфертов  для финансового обеспечения переданных полномочий</w:t>
            </w:r>
          </w:p>
        </w:tc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</w:t>
            </w:r>
          </w:p>
        </w:tc>
        <w:tc>
          <w:tcPr>
            <w:tcW w:w="11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100</w:t>
            </w:r>
          </w:p>
        </w:tc>
      </w:tr>
      <w:tr>
        <w:trPr>
          <w:trHeight w:val="398" w:hRule="atLeast"/>
        </w:trPr>
        <w:tc>
          <w:tcPr>
            <w:tcW w:w="11462" w:type="dxa"/>
            <w:gridSpan w:val="8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Основное мероприятие  5 «Резервный фонд администрации муниципального образования Северский район»</w:t>
            </w:r>
          </w:p>
        </w:tc>
        <w:tc>
          <w:tcPr>
            <w:tcW w:w="145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  <w:tc>
          <w:tcPr>
            <w:tcW w:w="1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>
          <w:trHeight w:val="667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17.</w:t>
            </w:r>
          </w:p>
        </w:tc>
        <w:tc>
          <w:tcPr>
            <w:tcW w:w="431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Отношение резервного  фонда администрации к общему объему расходов</w:t>
            </w:r>
          </w:p>
        </w:tc>
        <w:tc>
          <w:tcPr>
            <w:tcW w:w="7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sPlusCel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% (не более)</w:t>
            </w:r>
          </w:p>
        </w:tc>
        <w:tc>
          <w:tcPr>
            <w:tcW w:w="11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3</w:t>
            </w:r>
          </w:p>
        </w:tc>
      </w:tr>
    </w:tbl>
    <w:p>
      <w:pPr>
        <w:pStyle w:val="ConsPlusNormal"/>
        <w:ind w:firstLine="540"/>
        <w:rPr>
          <w:rFonts w:ascii="Times New Roman" w:hAnsi="Times New Roman" w:cs="Times New Roman"/>
          <w:sz w:val="28"/>
          <w:szCs w:val="28"/>
          <w:shd w:fill="FFFFFF" w:val="clear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--------------------------------</w:t>
      </w:r>
    </w:p>
    <w:p>
      <w:pPr>
        <w:pStyle w:val="ConsPlusNormal"/>
        <w:ind w:firstLine="540"/>
        <w:jc w:val="both"/>
        <w:rPr/>
      </w:pPr>
      <w:bookmarkStart w:id="0" w:name="Par419"/>
      <w:bookmarkEnd w:id="0"/>
      <w:r>
        <w:rPr>
          <w:rFonts w:cs="Times New Roman" w:ascii="Times New Roman" w:hAnsi="Times New Roman"/>
          <w:color w:val="000000"/>
          <w:sz w:val="24"/>
          <w:szCs w:val="24"/>
        </w:rPr>
        <w:t xml:space="preserve">&lt;*&gt; В соответствии со </w:t>
      </w:r>
      <w:hyperlink r:id="rId2">
        <w:r>
          <w:rPr>
            <w:rFonts w:cs="Times New Roman" w:ascii="Times New Roman" w:hAnsi="Times New Roman"/>
            <w:color w:val="000000"/>
            <w:sz w:val="24"/>
            <w:szCs w:val="24"/>
          </w:rPr>
          <w:t>статьей 92.1</w:t>
        </w:r>
      </w:hyperlink>
      <w:r>
        <w:rPr>
          <w:rFonts w:cs="Times New Roman" w:ascii="Times New Roman" w:hAnsi="Times New Roman"/>
          <w:color w:val="000000"/>
          <w:sz w:val="24"/>
          <w:szCs w:val="24"/>
        </w:rPr>
        <w:t xml:space="preserve"> Бюджетного кодекса Российской Федерации до 1 января 2017 года в случае утверждения решением Совета муниципального образования Северский район о бюджете муниципального района в  составе источников финансирования дефицита бюджета разницы между полученными и погашенными муниципальным образованием бюджетными кредитами, предоставленными бюджету  муниципального района другими бюджетами бюджетной системы Российской</w:t>
      </w:r>
      <w:r>
        <w:rPr>
          <w:rFonts w:cs="Times New Roman" w:ascii="Times New Roman" w:hAnsi="Times New Roman"/>
          <w:sz w:val="24"/>
          <w:szCs w:val="24"/>
        </w:rPr>
        <w:t xml:space="preserve"> Федерации, дефицит бюджета может превысить предельный размер (10 процентов) в пределах указанной разницы.</w:t>
      </w:r>
    </w:p>
    <w:p>
      <w:pPr>
        <w:pStyle w:val="ConsPlusNormal"/>
        <w:ind w:firstLine="540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 xml:space="preserve">Заместитель главы администрации </w:t>
      </w:r>
    </w:p>
    <w:p>
      <w:pPr>
        <w:pStyle w:val="Normal"/>
        <w:tabs>
          <w:tab w:val="clear" w:pos="708"/>
          <w:tab w:val="center" w:pos="6979" w:leader="none"/>
          <w:tab w:val="left" w:pos="12810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(начальник финансового управления</w:t>
        <w:tab/>
        <w:t>)                                                                                                                       К.В.Леуцкая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outlineLvl w:val="0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567"/>
      <w:pgNumType w:fmt="decimal"/>
      <w:formProt w:val="false"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1503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261503"/>
    <w:rPr/>
  </w:style>
  <w:style w:type="character" w:styleId="Style15" w:customStyle="1">
    <w:name w:val="Нижний колонтитул Знак"/>
    <w:basedOn w:val="DefaultParagraphFont"/>
    <w:qFormat/>
    <w:rsid w:val="00261503"/>
    <w:rPr/>
  </w:style>
  <w:style w:type="character" w:styleId="Style16" w:customStyle="1">
    <w:name w:val="Схема документа Знак"/>
    <w:basedOn w:val="DefaultParagraphFont"/>
    <w:qFormat/>
    <w:rsid w:val="00261503"/>
    <w:rPr>
      <w:rFonts w:ascii="Tahoma" w:hAnsi="Tahoma"/>
      <w:sz w:val="16"/>
      <w:szCs w:val="16"/>
    </w:rPr>
  </w:style>
  <w:style w:type="character" w:styleId="Style17" w:customStyle="1">
    <w:name w:val="Текст выноски Знак"/>
    <w:basedOn w:val="DefaultParagraphFont"/>
    <w:qFormat/>
    <w:rsid w:val="00261503"/>
    <w:rPr>
      <w:rFonts w:ascii="Segoe UI" w:hAnsi="Segoe UI" w:cs="Segoe UI"/>
      <w:sz w:val="18"/>
      <w:szCs w:val="18"/>
    </w:rPr>
  </w:style>
  <w:style w:type="character" w:styleId="Hyperlink" w:customStyle="1">
    <w:name w:val="Hyperlink"/>
    <w:rsid w:val="00261503"/>
    <w:rPr>
      <w:color w:val="000080"/>
      <w:u w:val="single"/>
    </w:rPr>
  </w:style>
  <w:style w:type="paragraph" w:styleId="Style18" w:customStyle="1">
    <w:name w:val="Заголовок"/>
    <w:basedOn w:val="Normal"/>
    <w:next w:val="BodyText"/>
    <w:qFormat/>
    <w:rsid w:val="00261503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rsid w:val="00261503"/>
    <w:pPr>
      <w:spacing w:before="0" w:after="140"/>
    </w:pPr>
    <w:rPr/>
  </w:style>
  <w:style w:type="paragraph" w:styleId="List">
    <w:name w:val="List"/>
    <w:basedOn w:val="BodyText"/>
    <w:rsid w:val="00261503"/>
    <w:pPr/>
    <w:rPr>
      <w:rFonts w:cs="Mangal"/>
    </w:rPr>
  </w:style>
  <w:style w:type="paragraph" w:styleId="Caption" w:customStyle="1">
    <w:name w:val="Caption"/>
    <w:basedOn w:val="Normal"/>
    <w:qFormat/>
    <w:rsid w:val="002615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261503"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26150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qFormat/>
    <w:rsid w:val="00261503"/>
    <w:pPr>
      <w:widowControl/>
      <w:suppressAutoHyphens w:val="true"/>
      <w:bidi w:val="0"/>
      <w:spacing w:before="0" w:after="0"/>
      <w:jc w:val="left"/>
    </w:pPr>
    <w:rPr>
      <w:rFonts w:ascii="Calibri" w:hAnsi="Calibri" w:eastAsia="Segoe UI" w:cs="Tahoma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261503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20" w:customStyle="1">
    <w:name w:val="Верхний и нижний колонтитулы"/>
    <w:basedOn w:val="Normal"/>
    <w:qFormat/>
    <w:rsid w:val="00261503"/>
    <w:pPr/>
    <w:rPr/>
  </w:style>
  <w:style w:type="paragraph" w:styleId="Style21">
    <w:name w:val="Колонтитул"/>
    <w:basedOn w:val="Normal"/>
    <w:qFormat/>
    <w:pPr/>
    <w:rPr/>
  </w:style>
  <w:style w:type="paragraph" w:styleId="Header" w:customStyle="1">
    <w:name w:val="Head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 w:customStyle="1">
    <w:name w:val="Footer"/>
    <w:basedOn w:val="Normal"/>
    <w:rsid w:val="0026150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DocumentMap">
    <w:name w:val="Document Map"/>
    <w:basedOn w:val="Normal"/>
    <w:qFormat/>
    <w:rsid w:val="00261503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BalloonText">
    <w:name w:val="Balloon Text"/>
    <w:basedOn w:val="Normal"/>
    <w:qFormat/>
    <w:rsid w:val="0026150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2" w:customStyle="1">
    <w:name w:val="Содержимое таблицы"/>
    <w:basedOn w:val="Normal"/>
    <w:qFormat/>
    <w:rsid w:val="00261503"/>
    <w:pPr>
      <w:widowControl w:val="false"/>
      <w:suppressLineNumbers/>
    </w:pPr>
    <w:rPr/>
  </w:style>
  <w:style w:type="paragraph" w:styleId="Style23" w:customStyle="1">
    <w:name w:val="Заголовок таблицы"/>
    <w:basedOn w:val="Style22"/>
    <w:qFormat/>
    <w:rsid w:val="00261503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A08CC0658C145BBFFFD1885DAE956401F1F9F62CA37B6CF2F94B89E88674F446F91560823427jEN5I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3656</TotalTime>
  <Application>LibreOffice/24.2.0.3$Windows_X86_64 LibreOffice_project/da48488a73ddd66ea24cf16bbc4f7b9c08e9bea1</Application>
  <AppVersion>15.0000</AppVersion>
  <Pages>8</Pages>
  <Words>1405</Words>
  <Characters>8948</Characters>
  <CharactersWithSpaces>10375</CharactersWithSpaces>
  <Paragraphs>540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2014-05-19T12:16:00Z</dcterms:created>
  <dc:creator>SarkisovaMG</dc:creator>
  <dc:description/>
  <dc:language>ru-RU</dc:language>
  <cp:lastModifiedBy/>
  <cp:lastPrinted>2024-12-23T16:27:39Z</cp:lastPrinted>
  <dcterms:modified xsi:type="dcterms:W3CDTF">2024-12-25T10:36:58Z</dcterms:modified>
  <cp:revision>165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